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1DABE" w14:textId="77777777" w:rsidR="006464FB" w:rsidRPr="006464FB" w:rsidRDefault="006464FB" w:rsidP="008F657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464F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ЗВІТ</w:t>
      </w:r>
    </w:p>
    <w:p w14:paraId="64B19AD1" w14:textId="77777777" w:rsidR="0081629E" w:rsidRDefault="008F6571" w:rsidP="008F65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6464FB" w:rsidRPr="006464F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олови постійної комісії з </w:t>
      </w:r>
      <w:r w:rsidR="006464FB" w:rsidRPr="006464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містобудування, агропромислового розвитку, земельної реформи, земельних відносин, екології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="006464FB" w:rsidRPr="006464FB">
        <w:rPr>
          <w:rFonts w:ascii="Times New Roman" w:hAnsi="Times New Roman" w:cs="Times New Roman"/>
          <w:b/>
          <w:sz w:val="28"/>
          <w:szCs w:val="28"/>
          <w:lang w:val="uk-UA"/>
        </w:rPr>
        <w:t>та раціонального природокористування Савранської селищної ради</w:t>
      </w:r>
    </w:p>
    <w:p w14:paraId="0C8D1E11" w14:textId="77777777" w:rsidR="008F6571" w:rsidRDefault="008F6571" w:rsidP="008F65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2024 рік</w:t>
      </w:r>
    </w:p>
    <w:p w14:paraId="1CC7395C" w14:textId="77777777" w:rsidR="008F6571" w:rsidRDefault="008F6571" w:rsidP="008F65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1F04754" w14:textId="77777777" w:rsidR="00955925" w:rsidRDefault="008F6571" w:rsidP="008F6571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26 та статті 47 Закону України «Про місцеве самоврядування в Україні»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постійна комісія</w:t>
      </w:r>
      <w:r w:rsidRPr="008F65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Pr="008F6571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містобудування, агропромислового розвитку, земельної реформи, земельних відносин, екології                                        та раціонального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створена рішенням сесії Савранської селищної ради</w:t>
      </w:r>
      <w:r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 «Про обрання </w:t>
      </w:r>
      <w:r>
        <w:rPr>
          <w:rFonts w:ascii="Times New Roman" w:hAnsi="Times New Roman" w:cs="Times New Roman"/>
          <w:sz w:val="28"/>
          <w:szCs w:val="28"/>
          <w:lang w:val="uk-UA"/>
        </w:rPr>
        <w:t>складу постійних комісій» від</w:t>
      </w:r>
      <w:r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94C51"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</w:t>
      </w:r>
      <w:r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.12.2020 року</w:t>
      </w:r>
      <w:r w:rsidR="00EF2439"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19ED313E" w14:textId="77777777" w:rsidR="00955925" w:rsidRDefault="00955925" w:rsidP="008F65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F6571"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складу постійної комісії </w:t>
      </w:r>
      <w:r w:rsidRPr="0095592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</w:t>
      </w:r>
      <w:r w:rsidRPr="00955925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містобудування, агропромислового розвитку, земельної реформи, земельних відносин, екології та раціонального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входить 5 депутатів Савранської селищної</w:t>
      </w:r>
      <w:r w:rsidR="008F6571"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 ради: </w:t>
      </w:r>
    </w:p>
    <w:p w14:paraId="3B86D531" w14:textId="77777777" w:rsidR="00955925" w:rsidRDefault="00955925" w:rsidP="008F65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Самойлюк Валерій Васильович</w:t>
      </w:r>
      <w:r w:rsidR="008F6571"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 - голова комісії; </w:t>
      </w:r>
    </w:p>
    <w:p w14:paraId="3EAD7F15" w14:textId="77777777" w:rsidR="00955925" w:rsidRDefault="00955925" w:rsidP="008F65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Сливка Віктор Миколайович</w:t>
      </w:r>
      <w:r w:rsidR="008F6571"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 - секретар комісії; </w:t>
      </w:r>
    </w:p>
    <w:p w14:paraId="20F13102" w14:textId="77777777" w:rsidR="00955925" w:rsidRDefault="00955925" w:rsidP="008F65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Бондарчук Володимир Ростиславович</w:t>
      </w:r>
      <w:r w:rsidR="008F6571"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 - заступник голови комісії; </w:t>
      </w:r>
    </w:p>
    <w:p w14:paraId="5FF1CE2D" w14:textId="77777777" w:rsidR="00955925" w:rsidRDefault="00955925" w:rsidP="008F657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Волошин Олександр Анатолійович</w:t>
      </w:r>
      <w:r w:rsidR="008F6571" w:rsidRPr="008F6571">
        <w:rPr>
          <w:rFonts w:ascii="Times New Roman" w:hAnsi="Times New Roman" w:cs="Times New Roman"/>
          <w:sz w:val="28"/>
          <w:szCs w:val="28"/>
          <w:lang w:val="uk-UA"/>
        </w:rPr>
        <w:t xml:space="preserve"> - член комісії; </w:t>
      </w:r>
    </w:p>
    <w:p w14:paraId="5A7F73E1" w14:textId="77777777" w:rsidR="008F6571" w:rsidRPr="00494C51" w:rsidRDefault="00955925" w:rsidP="008F65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Мартиновський</w:t>
      </w:r>
      <w:r w:rsidR="00494C51"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Григорій Васильович</w:t>
      </w:r>
      <w:r w:rsidR="008F6571" w:rsidRPr="00494C5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- член комісії.</w:t>
      </w:r>
    </w:p>
    <w:p w14:paraId="668D6F47" w14:textId="77777777" w:rsidR="00EF2439" w:rsidRPr="004E4D5E" w:rsidRDefault="00EF2439" w:rsidP="00EF243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Fonts w:eastAsiaTheme="minorHAnsi"/>
          <w:color w:val="FF0000"/>
          <w:sz w:val="28"/>
          <w:szCs w:val="28"/>
          <w:lang w:eastAsia="en-US"/>
        </w:rPr>
        <w:t xml:space="preserve">     </w:t>
      </w:r>
      <w:r w:rsidRPr="004E4D5E">
        <w:rPr>
          <w:sz w:val="28"/>
          <w:szCs w:val="28"/>
        </w:rPr>
        <w:t xml:space="preserve">Постійна комісія </w:t>
      </w:r>
      <w:r w:rsidRPr="008F6571">
        <w:rPr>
          <w:bCs/>
          <w:sz w:val="28"/>
          <w:szCs w:val="28"/>
        </w:rPr>
        <w:t xml:space="preserve">з </w:t>
      </w:r>
      <w:r w:rsidRPr="008F6571">
        <w:rPr>
          <w:sz w:val="28"/>
          <w:szCs w:val="28"/>
        </w:rPr>
        <w:t>питань містобудування, агропромислового розвитку, земельної реформ</w:t>
      </w:r>
      <w:r>
        <w:rPr>
          <w:sz w:val="28"/>
          <w:szCs w:val="28"/>
        </w:rPr>
        <w:t xml:space="preserve">и, земельних відносин, екології </w:t>
      </w:r>
      <w:r w:rsidRPr="008F6571">
        <w:rPr>
          <w:sz w:val="28"/>
          <w:szCs w:val="28"/>
        </w:rPr>
        <w:t>та раціонального природокористування</w:t>
      </w:r>
      <w:r w:rsidRPr="004E4D5E">
        <w:rPr>
          <w:sz w:val="28"/>
          <w:szCs w:val="28"/>
          <w:lang w:eastAsia="ru-RU"/>
        </w:rPr>
        <w:t xml:space="preserve"> здійснює с</w:t>
      </w:r>
      <w:r w:rsidRPr="004E4D5E">
        <w:rPr>
          <w:sz w:val="28"/>
          <w:szCs w:val="28"/>
        </w:rPr>
        <w:t>вою діяльність на принципах законності, гласності, рівноправності та керується вимогами Конституції України, законів</w:t>
      </w:r>
      <w:r>
        <w:rPr>
          <w:sz w:val="28"/>
          <w:szCs w:val="28"/>
        </w:rPr>
        <w:t xml:space="preserve"> України, Регламенту Савранської селищної</w:t>
      </w:r>
      <w:r w:rsidRPr="004E4D5E">
        <w:rPr>
          <w:sz w:val="28"/>
          <w:szCs w:val="28"/>
        </w:rPr>
        <w:t xml:space="preserve"> ради 8 скликання та Положенням про постійні ком</w:t>
      </w:r>
      <w:r w:rsidR="009D45E3">
        <w:rPr>
          <w:sz w:val="28"/>
          <w:szCs w:val="28"/>
        </w:rPr>
        <w:t>ісії селищної</w:t>
      </w:r>
      <w:r>
        <w:rPr>
          <w:sz w:val="28"/>
          <w:szCs w:val="28"/>
        </w:rPr>
        <w:t xml:space="preserve"> </w:t>
      </w:r>
      <w:r w:rsidRPr="004E4D5E">
        <w:rPr>
          <w:sz w:val="28"/>
          <w:szCs w:val="28"/>
        </w:rPr>
        <w:t>ради, згідно якого визначено функціональну спрямованість її роботи.</w:t>
      </w:r>
    </w:p>
    <w:p w14:paraId="5AF2F040" w14:textId="77777777" w:rsidR="00EF2439" w:rsidRPr="00AF5CAE" w:rsidRDefault="009D45E3" w:rsidP="009D45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="00EF2439">
        <w:rPr>
          <w:sz w:val="28"/>
          <w:szCs w:val="28"/>
          <w:shd w:val="clear" w:color="auto" w:fill="FFFFFF"/>
        </w:rPr>
        <w:t xml:space="preserve">Робота комісії проводилась </w:t>
      </w:r>
      <w:r>
        <w:rPr>
          <w:sz w:val="28"/>
          <w:szCs w:val="28"/>
          <w:shd w:val="clear" w:color="auto" w:fill="FFFFFF"/>
        </w:rPr>
        <w:t>згідно з графіком</w:t>
      </w:r>
      <w:r w:rsidR="00EF2439" w:rsidRPr="00AF5CAE">
        <w:rPr>
          <w:sz w:val="28"/>
          <w:szCs w:val="28"/>
          <w:shd w:val="clear" w:color="auto" w:fill="FFFFFF"/>
        </w:rPr>
        <w:t xml:space="preserve"> роботи постійної к</w:t>
      </w:r>
      <w:r w:rsidR="00EF2439">
        <w:rPr>
          <w:sz w:val="28"/>
          <w:szCs w:val="28"/>
          <w:shd w:val="clear" w:color="auto" w:fill="FFFFFF"/>
        </w:rPr>
        <w:t xml:space="preserve">омісії та планом роботи селищної ради </w:t>
      </w:r>
      <w:r w:rsidR="00EF2439" w:rsidRPr="00AF5CAE">
        <w:rPr>
          <w:sz w:val="28"/>
          <w:szCs w:val="28"/>
          <w:shd w:val="clear" w:color="auto" w:fill="FFFFFF"/>
        </w:rPr>
        <w:t>на  відповідний рік.</w:t>
      </w:r>
    </w:p>
    <w:p w14:paraId="34F7B1F3" w14:textId="77777777" w:rsidR="00EF2439" w:rsidRPr="005504D1" w:rsidRDefault="009D45E3" w:rsidP="009D45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2439" w:rsidRPr="004E4D5E">
        <w:rPr>
          <w:sz w:val="28"/>
          <w:szCs w:val="28"/>
        </w:rPr>
        <w:t>За звітний період</w:t>
      </w:r>
      <w:r w:rsidR="00B3485B">
        <w:rPr>
          <w:sz w:val="28"/>
          <w:szCs w:val="28"/>
        </w:rPr>
        <w:t xml:space="preserve"> 2024 року</w:t>
      </w:r>
      <w:r w:rsidR="00EF2439" w:rsidRPr="004E4D5E">
        <w:rPr>
          <w:sz w:val="28"/>
          <w:szCs w:val="28"/>
        </w:rPr>
        <w:t xml:space="preserve"> постійна комісія </w:t>
      </w:r>
      <w:r w:rsidR="00EF2439">
        <w:rPr>
          <w:sz w:val="28"/>
          <w:szCs w:val="28"/>
        </w:rPr>
        <w:t>селищної</w:t>
      </w:r>
      <w:r w:rsidR="00EF2439" w:rsidRPr="004E4D5E">
        <w:rPr>
          <w:sz w:val="28"/>
          <w:szCs w:val="28"/>
        </w:rPr>
        <w:t xml:space="preserve"> ради провела </w:t>
      </w:r>
      <w:r>
        <w:rPr>
          <w:sz w:val="28"/>
          <w:szCs w:val="28"/>
        </w:rPr>
        <w:t xml:space="preserve"> </w:t>
      </w:r>
      <w:r w:rsidR="005504D1" w:rsidRPr="005504D1">
        <w:rPr>
          <w:b/>
          <w:color w:val="000000" w:themeColor="text1"/>
          <w:sz w:val="28"/>
          <w:szCs w:val="28"/>
        </w:rPr>
        <w:t>10</w:t>
      </w:r>
      <w:r w:rsidR="00EF2439" w:rsidRPr="005504D1">
        <w:rPr>
          <w:color w:val="000000" w:themeColor="text1"/>
          <w:sz w:val="28"/>
          <w:szCs w:val="28"/>
        </w:rPr>
        <w:t xml:space="preserve"> </w:t>
      </w:r>
      <w:r w:rsidR="005504D1">
        <w:rPr>
          <w:color w:val="000000" w:themeColor="text1"/>
          <w:sz w:val="28"/>
          <w:szCs w:val="28"/>
        </w:rPr>
        <w:t xml:space="preserve">планових </w:t>
      </w:r>
      <w:r w:rsidR="00EF2439" w:rsidRPr="005504D1">
        <w:rPr>
          <w:color w:val="000000" w:themeColor="text1"/>
          <w:sz w:val="28"/>
          <w:szCs w:val="28"/>
        </w:rPr>
        <w:t>засідань</w:t>
      </w:r>
      <w:r w:rsidR="005504D1">
        <w:rPr>
          <w:sz w:val="28"/>
          <w:szCs w:val="28"/>
        </w:rPr>
        <w:t xml:space="preserve">, </w:t>
      </w:r>
      <w:r w:rsidR="005504D1" w:rsidRPr="005504D1">
        <w:rPr>
          <w:b/>
          <w:sz w:val="28"/>
          <w:szCs w:val="28"/>
        </w:rPr>
        <w:t>1</w:t>
      </w:r>
      <w:r w:rsidR="005504D1">
        <w:rPr>
          <w:sz w:val="28"/>
          <w:szCs w:val="28"/>
        </w:rPr>
        <w:t xml:space="preserve"> спільне засідання з постійною комісією</w:t>
      </w:r>
      <w:r w:rsidR="005504D1" w:rsidRPr="00BB195F">
        <w:rPr>
          <w:b/>
          <w:bCs/>
          <w:szCs w:val="28"/>
        </w:rPr>
        <w:t xml:space="preserve"> </w:t>
      </w:r>
      <w:r w:rsidR="005504D1" w:rsidRPr="005504D1">
        <w:rPr>
          <w:rFonts w:eastAsia="Calibri"/>
          <w:sz w:val="28"/>
          <w:szCs w:val="28"/>
          <w:lang w:eastAsia="en-US"/>
        </w:rPr>
        <w:t xml:space="preserve">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="005504D1" w:rsidRPr="005504D1">
        <w:rPr>
          <w:rFonts w:eastAsia="Calibri"/>
          <w:sz w:val="28"/>
          <w:szCs w:val="28"/>
          <w:lang w:eastAsia="en-US"/>
        </w:rPr>
        <w:t>та комунальної власності.</w:t>
      </w:r>
    </w:p>
    <w:p w14:paraId="1D7283EE" w14:textId="77777777" w:rsidR="00EF2439" w:rsidRPr="004E4D5E" w:rsidRDefault="009D45E3" w:rsidP="009D45E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2439" w:rsidRPr="004E4D5E">
        <w:rPr>
          <w:sz w:val="28"/>
          <w:szCs w:val="28"/>
        </w:rPr>
        <w:t>До обов’язків постійної комісії входить попередн</w:t>
      </w:r>
      <w:r w:rsidR="00EF2439">
        <w:rPr>
          <w:sz w:val="28"/>
          <w:szCs w:val="28"/>
        </w:rPr>
        <w:t>є вивчення</w:t>
      </w:r>
      <w:r>
        <w:rPr>
          <w:sz w:val="28"/>
          <w:szCs w:val="28"/>
        </w:rPr>
        <w:t xml:space="preserve"> та погодження проектів рішення</w:t>
      </w:r>
      <w:r w:rsidR="00EF2439" w:rsidRPr="004E4D5E">
        <w:rPr>
          <w:sz w:val="28"/>
          <w:szCs w:val="28"/>
        </w:rPr>
        <w:t xml:space="preserve">, які плануються до розгляду на сесіях </w:t>
      </w:r>
      <w:r w:rsidR="00EF2439">
        <w:rPr>
          <w:sz w:val="28"/>
          <w:szCs w:val="28"/>
        </w:rPr>
        <w:t>селищної</w:t>
      </w:r>
      <w:r w:rsidR="00EF2439" w:rsidRPr="004E4D5E">
        <w:rPr>
          <w:sz w:val="28"/>
          <w:szCs w:val="28"/>
        </w:rPr>
        <w:t xml:space="preserve"> ради</w:t>
      </w:r>
      <w:r w:rsidR="00EF2439">
        <w:rPr>
          <w:sz w:val="28"/>
          <w:szCs w:val="28"/>
        </w:rPr>
        <w:t>, розгляд клопотань, звернень як від фізичних так і юридичних осіб.</w:t>
      </w:r>
    </w:p>
    <w:p w14:paraId="4D3C1455" w14:textId="77777777" w:rsidR="004D23C3" w:rsidRDefault="00653811" w:rsidP="006538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23C3">
        <w:rPr>
          <w:sz w:val="28"/>
          <w:szCs w:val="28"/>
        </w:rPr>
        <w:t>Увага постійної комісії</w:t>
      </w:r>
      <w:r w:rsidR="004D23C3" w:rsidRPr="000B030D">
        <w:rPr>
          <w:sz w:val="28"/>
          <w:szCs w:val="28"/>
        </w:rPr>
        <w:t xml:space="preserve"> завжди прикута до таких значущих питань як захист навколишнього середовища</w:t>
      </w:r>
      <w:r w:rsidR="004D23C3">
        <w:rPr>
          <w:sz w:val="28"/>
          <w:szCs w:val="28"/>
        </w:rPr>
        <w:t xml:space="preserve">, </w:t>
      </w:r>
      <w:r w:rsidR="004D23C3" w:rsidRPr="000B030D">
        <w:rPr>
          <w:sz w:val="28"/>
          <w:szCs w:val="28"/>
        </w:rPr>
        <w:t>відновлення природних ресурсів</w:t>
      </w:r>
      <w:r w:rsidR="004D23C3">
        <w:rPr>
          <w:sz w:val="28"/>
          <w:szCs w:val="28"/>
        </w:rPr>
        <w:t>, к</w:t>
      </w:r>
      <w:r w:rsidR="004D23C3" w:rsidRPr="000B030D">
        <w:rPr>
          <w:sz w:val="28"/>
          <w:szCs w:val="28"/>
        </w:rPr>
        <w:t>онтроль за дотриманням земельного та природоохоронного законодавства тощо.</w:t>
      </w:r>
    </w:p>
    <w:p w14:paraId="14E4D6AD" w14:textId="77777777" w:rsidR="00E83DEA" w:rsidRDefault="002027CF" w:rsidP="009551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9551F3"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Одним із основних напрямків роботи постійної комісії є вирішення питань, які стосуються регулювання земельних відносин селищної територіальної громади з орендарями – фізичними і юридичними особами.</w:t>
      </w:r>
    </w:p>
    <w:p w14:paraId="2A0C5D80" w14:textId="77777777" w:rsidR="00E83DEA" w:rsidRDefault="00E83DEA" w:rsidP="009551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</w:p>
    <w:p w14:paraId="376BC93F" w14:textId="77777777" w:rsidR="00E83DEA" w:rsidRDefault="00E83DEA" w:rsidP="009551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</w:p>
    <w:p w14:paraId="3D14563F" w14:textId="77777777" w:rsidR="00E83DEA" w:rsidRDefault="00E83DEA" w:rsidP="009551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</w:p>
    <w:p w14:paraId="503D78FD" w14:textId="77777777" w:rsidR="00E83DEA" w:rsidRDefault="00E83DEA" w:rsidP="009551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</w:p>
    <w:p w14:paraId="61577466" w14:textId="77777777" w:rsidR="009551F3" w:rsidRDefault="009551F3" w:rsidP="009551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lastRenderedPageBreak/>
        <w:t xml:space="preserve">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    </w:t>
      </w:r>
    </w:p>
    <w:p w14:paraId="73195BDF" w14:textId="77777777" w:rsidR="00F43D2A" w:rsidRPr="0036667E" w:rsidRDefault="009551F3" w:rsidP="00366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    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Їхня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важливість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полягає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не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лише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в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задоволенні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потреб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орендарів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, а і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наповненні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На протязі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202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року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="005504D1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за рекомендації 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по</w:t>
      </w:r>
      <w:r w:rsidR="005504D1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стійної комісії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розгляд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сесії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Савранської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селищної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ради </w:t>
      </w:r>
      <w:r w:rsidR="002027CF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було винесено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>337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проектів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з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питань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регулювання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земельних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відносин</w:t>
      </w:r>
      <w:proofErr w:type="spellEnd"/>
      <w:r w:rsidR="002027CF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,                     а саме </w:t>
      </w:r>
      <w:proofErr w:type="spellStart"/>
      <w:r w:rsidR="002027CF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укладання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val="uk-UA" w:eastAsia="ru-RU"/>
        </w:rPr>
        <w:t>176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договорів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оренди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земельних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ділянок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 комунальної власності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на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загальну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площу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>646,8142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>га</w:t>
      </w:r>
      <w:r w:rsidR="002027CF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. Передача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у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власність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громадянам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для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будівництва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і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обслуговування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житлових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будинків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та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споруд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-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>133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ділянки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площею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>22,8399 га</w:t>
      </w:r>
      <w:r w:rsidR="002027CF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; передача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у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власність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 громадянам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 xml:space="preserve">40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земельних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часток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(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паїв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) </w:t>
      </w:r>
      <w:proofErr w:type="spellStart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>площею</w:t>
      </w:r>
      <w:proofErr w:type="spellEnd"/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 w:rsidRPr="009551F3">
        <w:rPr>
          <w:rFonts w:ascii="Times New Roman" w:eastAsia="Times New Roman" w:hAnsi="Times New Roman" w:cs="Times New Roman"/>
          <w:b/>
          <w:color w:val="000000" w:themeColor="text1"/>
          <w:spacing w:val="7"/>
          <w:sz w:val="28"/>
          <w:szCs w:val="28"/>
          <w:lang w:eastAsia="ru-RU"/>
        </w:rPr>
        <w:t>84,8743 га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>.</w:t>
      </w:r>
      <w:r w:rsidRPr="009551F3"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7"/>
          <w:sz w:val="28"/>
          <w:szCs w:val="28"/>
          <w:lang w:val="uk-UA" w:eastAsia="ru-RU"/>
        </w:rPr>
        <w:t xml:space="preserve">  </w:t>
      </w:r>
    </w:p>
    <w:p w14:paraId="2EE66CA7" w14:textId="77777777" w:rsidR="005504D1" w:rsidRDefault="0036667E" w:rsidP="003666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666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З метою ефективного використання  земельного  фонду  в  ринкових  умовах,              виконання  завдань  по  наповненню  бюджету  та  залучення  додаткових  коштів  до  бюджету  Савранської  селищної  ради, на протязі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024 року </w:t>
      </w:r>
      <w:r w:rsidRPr="0036667E">
        <w:rPr>
          <w:rFonts w:ascii="Times New Roman" w:eastAsia="Calibri" w:hAnsi="Times New Roman" w:cs="Times New Roman"/>
          <w:sz w:val="28"/>
          <w:szCs w:val="28"/>
          <w:lang w:val="uk-UA"/>
        </w:rPr>
        <w:t>постійною комісією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було</w:t>
      </w:r>
      <w:r w:rsidRPr="003666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забезпечено контроль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проведення земельних торгів</w:t>
      </w:r>
      <w:r w:rsidRPr="003666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формі електронних аукціонів</w:t>
      </w:r>
      <w:r w:rsidR="00E758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14:paraId="58E31935" w14:textId="77777777" w:rsidR="00E758B0" w:rsidRPr="00E758B0" w:rsidRDefault="00E758B0" w:rsidP="00E758B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E758B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На протязі 2024 року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було підготовлено та виставлено на земельні торги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                            у формі електронних аукціонів 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32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земельні ділянки сільськогосподарського призначення комунальної власності для передачі у користування на умовах оренди для ведення товарного сільськогосподарського виробництва на площу – 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482,52 га.</w:t>
      </w:r>
    </w:p>
    <w:p w14:paraId="1B4AFE97" w14:textId="77777777" w:rsidR="00E758B0" w:rsidRPr="00E758B0" w:rsidRDefault="00E758B0" w:rsidP="00E758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 У земельних торгах брали участь 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17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учасників, серед яких переважно місцеві аграрні підприємства та фермерські господарства. Під час проведення земельних торгів у формі електронних аукціонів було отримано 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51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цінову пропозицію від учасників електронних аукціонів. Середній розмір орендної плати за 1 гектар                             по Савранській громаді склав – 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21 760 тис. грн.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  </w:t>
      </w:r>
    </w:p>
    <w:p w14:paraId="2715B5C2" w14:textId="77777777" w:rsidR="00E758B0" w:rsidRDefault="00E758B0" w:rsidP="00E758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 За результатами проведених у 2024 році 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земельних торгів 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у формі електронних аукціонів до бюджету Савранської селищної ради буде надходити коштів </w:t>
      </w:r>
      <w:r w:rsidR="009E600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                            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в</w:t>
      </w:r>
      <w:r w:rsidR="009E600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</w:t>
      </w:r>
      <w:r w:rsidRPr="00E758B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сумі 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10,5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en-US" w:eastAsia="ru-RU"/>
        </w:rPr>
        <w:t> </w:t>
      </w:r>
      <w:r w:rsidRPr="00E758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 w:eastAsia="ru-RU"/>
        </w:rPr>
        <w:t>млн. грн.</w:t>
      </w:r>
    </w:p>
    <w:p w14:paraId="06EA9139" w14:textId="77777777" w:rsidR="00E758B0" w:rsidRPr="0070171A" w:rsidRDefault="00653811" w:rsidP="0036667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  </w:t>
      </w:r>
      <w:r w:rsidRPr="00F65F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Також, хотілося звернути увагу на те, що у 2024 році постійною комісією розпочата</w:t>
      </w:r>
      <w:r w:rsidR="009E6000" w:rsidRPr="00F65F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робота щодо проведення резервування</w:t>
      </w:r>
      <w:r w:rsidRPr="00F65F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 земельних ділянок сільськогосподарського призн</w:t>
      </w:r>
      <w:r w:rsidR="009E6000" w:rsidRPr="00F65FA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ачення</w:t>
      </w:r>
      <w:r w:rsidRPr="00F65FA7">
        <w:rPr>
          <w:rFonts w:ascii="ProbaPro" w:hAnsi="ProbaPro"/>
          <w:color w:val="000000" w:themeColor="text1"/>
          <w:sz w:val="27"/>
          <w:szCs w:val="27"/>
          <w:shd w:val="clear" w:color="auto" w:fill="FFFFFF"/>
          <w:lang w:val="uk-UA"/>
        </w:rPr>
        <w:t xml:space="preserve">, </w:t>
      </w:r>
      <w:r w:rsidRPr="00F65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що за необхідності після закінчення воєнного стану в Україні можуть бути запропоновані для передачі захисникам України в меж</w:t>
      </w:r>
      <w:r w:rsidR="009E6000" w:rsidRPr="00F65F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ах норм безплатної приватизації.</w:t>
      </w:r>
    </w:p>
    <w:p w14:paraId="6FD1DE98" w14:textId="77777777" w:rsidR="009D2A44" w:rsidRDefault="009D2A44" w:rsidP="003666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9D2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Проаналізувавши відвідування пленарних засідань та засідань постійних комісій депутатами селищної ради, для того, щоб розглянути всі питання та прийняти ряд важливих рішень можна сказати, що відвідуваність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членів постійної комісії </w:t>
      </w:r>
      <w:r w:rsidRPr="009D2A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депутатів, була досить високою.</w:t>
      </w:r>
    </w:p>
    <w:p w14:paraId="61555179" w14:textId="77777777" w:rsidR="00E3108A" w:rsidRDefault="00E3108A" w:rsidP="003666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21236A4C" w14:textId="77777777" w:rsidR="00E3108A" w:rsidRDefault="00E3108A" w:rsidP="0036667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66B1A931" w14:textId="77777777" w:rsidR="00E3108A" w:rsidRPr="00E3108A" w:rsidRDefault="00E3108A" w:rsidP="00E310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310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Голова постійної  комісії з питань </w:t>
      </w:r>
    </w:p>
    <w:p w14:paraId="48B4B6DC" w14:textId="77777777" w:rsidR="00E3108A" w:rsidRPr="00E3108A" w:rsidRDefault="00E3108A" w:rsidP="00E310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310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містобудування, агропромислового        </w:t>
      </w:r>
    </w:p>
    <w:p w14:paraId="57D7EBA4" w14:textId="77777777" w:rsidR="00E3108A" w:rsidRPr="00E3108A" w:rsidRDefault="00E3108A" w:rsidP="00E310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310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розвитку, земельної  реформи, </w:t>
      </w:r>
    </w:p>
    <w:p w14:paraId="1177C4A1" w14:textId="77777777" w:rsidR="00E3108A" w:rsidRPr="00E3108A" w:rsidRDefault="00E3108A" w:rsidP="00E310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310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земельних відносин, екології та             </w:t>
      </w:r>
    </w:p>
    <w:p w14:paraId="3ABF03FE" w14:textId="77777777" w:rsidR="00E3108A" w:rsidRPr="00E3108A" w:rsidRDefault="00E3108A" w:rsidP="00E310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310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раціонального  природокористування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Валерій САМОЙЛЮК</w:t>
      </w:r>
    </w:p>
    <w:p w14:paraId="4D090742" w14:textId="77777777" w:rsidR="00E3108A" w:rsidRPr="00E3108A" w:rsidRDefault="00E3108A" w:rsidP="00E3108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108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                              </w:t>
      </w:r>
    </w:p>
    <w:p w14:paraId="6E683C9A" w14:textId="77777777" w:rsidR="00E3108A" w:rsidRPr="00E3108A" w:rsidRDefault="00E3108A" w:rsidP="0036667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sectPr w:rsidR="00E3108A" w:rsidRPr="00E3108A" w:rsidSect="006464F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AE7"/>
    <w:rsid w:val="00034AE7"/>
    <w:rsid w:val="002027CF"/>
    <w:rsid w:val="0036667E"/>
    <w:rsid w:val="00472E2A"/>
    <w:rsid w:val="00494C51"/>
    <w:rsid w:val="004D23C3"/>
    <w:rsid w:val="005504D1"/>
    <w:rsid w:val="00644816"/>
    <w:rsid w:val="006464FB"/>
    <w:rsid w:val="00653811"/>
    <w:rsid w:val="0070171A"/>
    <w:rsid w:val="0081629E"/>
    <w:rsid w:val="008F6571"/>
    <w:rsid w:val="009551F3"/>
    <w:rsid w:val="00955925"/>
    <w:rsid w:val="009D2A44"/>
    <w:rsid w:val="009D45E3"/>
    <w:rsid w:val="009E6000"/>
    <w:rsid w:val="00B3485B"/>
    <w:rsid w:val="00E3108A"/>
    <w:rsid w:val="00E758B0"/>
    <w:rsid w:val="00E83DEA"/>
    <w:rsid w:val="00EF2439"/>
    <w:rsid w:val="00F03159"/>
    <w:rsid w:val="00F43D2A"/>
    <w:rsid w:val="00F65FA7"/>
    <w:rsid w:val="00FA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199DF"/>
  <w15:chartTrackingRefBased/>
  <w15:docId w15:val="{8A09A149-A3B0-416E-871C-52CB5249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2</cp:revision>
  <dcterms:created xsi:type="dcterms:W3CDTF">2025-02-19T07:14:00Z</dcterms:created>
  <dcterms:modified xsi:type="dcterms:W3CDTF">2025-02-19T07:14:00Z</dcterms:modified>
</cp:coreProperties>
</file>